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41" w:rsidRPr="001E196F" w:rsidRDefault="001E196F" w:rsidP="001E196F">
      <w:pPr>
        <w:pBdr>
          <w:bottom w:val="single" w:sz="4" w:space="1" w:color="auto"/>
        </w:pBdr>
        <w:rPr>
          <w:b/>
        </w:rPr>
      </w:pPr>
      <w:r w:rsidRPr="001E196F">
        <w:rPr>
          <w:b/>
        </w:rPr>
        <w:t>Price Planning</w:t>
      </w:r>
    </w:p>
    <w:p w:rsidR="003B4C1A" w:rsidRDefault="003B4C1A">
      <w:r>
        <w:t>Vocabulary</w:t>
      </w:r>
    </w:p>
    <w:tbl>
      <w:tblPr>
        <w:tblStyle w:val="TableGrid"/>
        <w:tblW w:w="0" w:type="auto"/>
        <w:tblLook w:val="04A0"/>
      </w:tblPr>
      <w:tblGrid>
        <w:gridCol w:w="2628"/>
        <w:gridCol w:w="10440"/>
      </w:tblGrid>
      <w:tr w:rsidR="003B4C1A" w:rsidTr="003B4C1A">
        <w:tc>
          <w:tcPr>
            <w:tcW w:w="2628" w:type="dxa"/>
          </w:tcPr>
          <w:p w:rsidR="003B4C1A" w:rsidRDefault="003B4C1A"/>
          <w:p w:rsidR="003B4C1A" w:rsidRDefault="003B4C1A">
            <w:r>
              <w:t>Price</w:t>
            </w:r>
          </w:p>
          <w:p w:rsidR="003B4C1A" w:rsidRDefault="003B4C1A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3B4C1A" w:rsidRDefault="003B4C1A">
            <w:r>
              <w:t>Return on investment (ROI)</w:t>
            </w:r>
          </w:p>
          <w:p w:rsidR="003B4C1A" w:rsidRDefault="003B4C1A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1E196F" w:rsidRDefault="001E196F">
            <w:r>
              <w:t>Market share</w:t>
            </w:r>
          </w:p>
          <w:p w:rsidR="001E196F" w:rsidRDefault="001E196F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1E196F" w:rsidRDefault="001E196F">
            <w:r>
              <w:t>Market position</w:t>
            </w:r>
          </w:p>
          <w:p w:rsidR="001E196F" w:rsidRDefault="001E196F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1E196F" w:rsidRDefault="001E196F">
            <w:proofErr w:type="spellStart"/>
            <w:r>
              <w:t>Break even</w:t>
            </w:r>
            <w:proofErr w:type="spellEnd"/>
            <w:r>
              <w:t xml:space="preserve"> point</w:t>
            </w:r>
          </w:p>
          <w:p w:rsidR="001E196F" w:rsidRDefault="001E196F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1E196F" w:rsidRDefault="001E196F">
            <w:r>
              <w:t>Demand elasticity</w:t>
            </w:r>
          </w:p>
          <w:p w:rsidR="001E196F" w:rsidRDefault="001E196F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1E196F" w:rsidRDefault="001E196F">
            <w:r>
              <w:t>Law of diminishing marginal utility</w:t>
            </w:r>
          </w:p>
          <w:p w:rsidR="001E196F" w:rsidRDefault="001E196F"/>
        </w:tc>
        <w:tc>
          <w:tcPr>
            <w:tcW w:w="10440" w:type="dxa"/>
          </w:tcPr>
          <w:p w:rsidR="003B4C1A" w:rsidRDefault="003B4C1A"/>
        </w:tc>
      </w:tr>
      <w:tr w:rsidR="003B4C1A" w:rsidTr="003B4C1A">
        <w:tc>
          <w:tcPr>
            <w:tcW w:w="2628" w:type="dxa"/>
          </w:tcPr>
          <w:p w:rsidR="003B4C1A" w:rsidRDefault="003B4C1A"/>
          <w:p w:rsidR="001E196F" w:rsidRDefault="001E196F">
            <w:r>
              <w:t>Price fixing</w:t>
            </w:r>
          </w:p>
          <w:p w:rsidR="001E196F" w:rsidRDefault="001E196F"/>
        </w:tc>
        <w:tc>
          <w:tcPr>
            <w:tcW w:w="10440" w:type="dxa"/>
          </w:tcPr>
          <w:p w:rsidR="003B4C1A" w:rsidRDefault="003B4C1A"/>
        </w:tc>
      </w:tr>
      <w:tr w:rsidR="001E196F" w:rsidTr="003B4C1A">
        <w:tc>
          <w:tcPr>
            <w:tcW w:w="2628" w:type="dxa"/>
          </w:tcPr>
          <w:p w:rsidR="001E196F" w:rsidRDefault="001E196F"/>
          <w:p w:rsidR="001E196F" w:rsidRDefault="001E196F">
            <w:r>
              <w:t>Unit pricing</w:t>
            </w:r>
          </w:p>
          <w:p w:rsidR="001E196F" w:rsidRDefault="001E196F"/>
        </w:tc>
        <w:tc>
          <w:tcPr>
            <w:tcW w:w="10440" w:type="dxa"/>
          </w:tcPr>
          <w:p w:rsidR="001E196F" w:rsidRDefault="001E196F"/>
        </w:tc>
      </w:tr>
      <w:tr w:rsidR="001E196F" w:rsidTr="003B4C1A">
        <w:tc>
          <w:tcPr>
            <w:tcW w:w="2628" w:type="dxa"/>
          </w:tcPr>
          <w:p w:rsidR="001E196F" w:rsidRDefault="001E196F"/>
          <w:p w:rsidR="001E196F" w:rsidRDefault="001E196F">
            <w:r>
              <w:t>Loss leader</w:t>
            </w:r>
          </w:p>
          <w:p w:rsidR="001E196F" w:rsidRDefault="001E196F"/>
        </w:tc>
        <w:tc>
          <w:tcPr>
            <w:tcW w:w="10440" w:type="dxa"/>
          </w:tcPr>
          <w:p w:rsidR="001E196F" w:rsidRDefault="001E196F"/>
        </w:tc>
      </w:tr>
    </w:tbl>
    <w:p w:rsidR="003B4C1A" w:rsidRDefault="003B4C1A"/>
    <w:sectPr w:rsidR="003B4C1A" w:rsidSect="001E196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1A" w:rsidRDefault="003B4C1A" w:rsidP="003B4C1A">
      <w:pPr>
        <w:spacing w:after="0" w:line="240" w:lineRule="auto"/>
      </w:pPr>
      <w:r>
        <w:separator/>
      </w:r>
    </w:p>
  </w:endnote>
  <w:endnote w:type="continuationSeparator" w:id="0">
    <w:p w:rsidR="003B4C1A" w:rsidRDefault="003B4C1A" w:rsidP="003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1A" w:rsidRDefault="003B4C1A" w:rsidP="003B4C1A">
      <w:pPr>
        <w:spacing w:after="0" w:line="240" w:lineRule="auto"/>
      </w:pPr>
      <w:r>
        <w:separator/>
      </w:r>
    </w:p>
  </w:footnote>
  <w:footnote w:type="continuationSeparator" w:id="0">
    <w:p w:rsidR="003B4C1A" w:rsidRDefault="003B4C1A" w:rsidP="003B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306"/>
      <w:gridCol w:w="2971"/>
    </w:tblGrid>
    <w:tr w:rsidR="003B4C1A" w:rsidRPr="00655DA8" w:rsidTr="00295BE3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66500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1095" w:type="dxa"/>
            </w:tcPr>
            <w:p w:rsidR="003B4C1A" w:rsidRPr="00655DA8" w:rsidRDefault="003B4C1A" w:rsidP="003B4C1A">
              <w:pPr>
                <w:pStyle w:val="Header"/>
                <w:tabs>
                  <w:tab w:val="clear" w:pos="936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Honors Marketing - - Vocabulary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665006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679" w:type="dxa"/>
            </w:tcPr>
            <w:p w:rsidR="003B4C1A" w:rsidRPr="00655DA8" w:rsidRDefault="003B4C1A" w:rsidP="003B4C1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Chapter 25</w:t>
              </w:r>
            </w:p>
          </w:tc>
        </w:sdtContent>
      </w:sdt>
    </w:tr>
  </w:tbl>
  <w:p w:rsidR="003B4C1A" w:rsidRDefault="003B4C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1A"/>
    <w:rsid w:val="001E196F"/>
    <w:rsid w:val="003B4C1A"/>
    <w:rsid w:val="007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1A"/>
  </w:style>
  <w:style w:type="paragraph" w:styleId="Footer">
    <w:name w:val="footer"/>
    <w:basedOn w:val="Normal"/>
    <w:link w:val="FooterChar"/>
    <w:uiPriority w:val="99"/>
    <w:semiHidden/>
    <w:unhideWhenUsed/>
    <w:rsid w:val="003B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1A"/>
  </w:style>
  <w:style w:type="paragraph" w:styleId="BalloonText">
    <w:name w:val="Balloon Text"/>
    <w:basedOn w:val="Normal"/>
    <w:link w:val="BalloonTextChar"/>
    <w:uiPriority w:val="99"/>
    <w:semiHidden/>
    <w:unhideWhenUsed/>
    <w:rsid w:val="003B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Marketing - - Vocabulary</dc:title>
  <dc:creator>jbelisle</dc:creator>
  <cp:lastModifiedBy>jbelisle</cp:lastModifiedBy>
  <cp:revision>2</cp:revision>
  <cp:lastPrinted>2012-04-09T13:30:00Z</cp:lastPrinted>
  <dcterms:created xsi:type="dcterms:W3CDTF">2012-04-09T13:26:00Z</dcterms:created>
  <dcterms:modified xsi:type="dcterms:W3CDTF">2012-04-09T13:31:00Z</dcterms:modified>
</cp:coreProperties>
</file>